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styles.xml" ContentType="application/vnd.openxmlformats-officedocument.wordprocessingml.styles+xml"/>
</Types>
</file>

<file path=_rels/.rels>&#65279;<?xml version="1.0" encoding="utf-8"?><Relationships xmlns="http://schemas.openxmlformats.org/package/2006/relationships"><Relationship Type="http://schemas.openxmlformats.org/officeDocument/2006/relationships/officeDocument" Target="/word/document.xml" Id="R33fcc6d8571a4062" /></Relationships>
</file>

<file path=word/document.xml><?xml version="1.0" encoding="utf-8"?>
<w:document xmlns:w="http://schemas.openxmlformats.org/wordprocessingml/2006/main">
  <w:body>
    <w:tbl>
      <w:tblPr>
        <w:tblW w:w="9000" w:type="dxa"/>
        <w:tblBorders>
          <w:top w:val="nil"/>
          <w:bottom w:val="nil"/>
          <w:left w:val="nil"/>
          <w:right w:val="nil"/>
          <w:insideH w:val="nil"/>
          <w:insideV w:val="nil"/>
        </w:tblBorders>
        <w:tblCellSpacing w:w="60" w:type="dxa"/>
        <w:shd w:val="clear" w:color="auto" w:fill="E7F0F9"/>
      </w:tblPr>
      <w:tblGrid>
        <w:gridCol w:w="1200"/>
        <w:gridCol w:w="4500"/>
      </w:tblGrid>
      <w:tr>
        <w:tc>
          <w:tcPr>
            <w:tcW w:w="1200" w:type="pct"/>
            <w:shd w:val="clear" w:color="auto" w:fill="E7F0F9"/>
          </w:tcPr>
          <w:p>
            <w:pPr>
              <w:spacing w:before="0" w:after="0" w:line="240" w:lineRule="auto"/>
              <w:jc w:val="left"/>
            </w:pPr>
            <w:r>
              <w:rPr>
                <w:b/>
              </w:rPr>
              <w:t xml:space="preserve">RKP broj</w:t>
            </w:r>
          </w:p>
        </w:tc>
        <w:tc>
          <w:tcPr>
            <w:shd w:val="clear" w:color="auto" w:fill="E7F0F9"/>
          </w:tcPr>
          <w:p>
            <w:pPr>
              <w:spacing w:before="0" w:after="0" w:line="240" w:lineRule="auto"/>
              <w:jc w:val="left"/>
            </w:pPr>
            <w:r>
              <w:t xml:space="preserve">27394</w:t>
            </w:r>
          </w:p>
        </w:tc>
      </w:tr>
      <w:tr>
        <w:tc>
          <w:tcPr>
            <w:tcW w:w="1200" w:type="pct"/>
            <w:shd w:val="clear" w:color="auto" w:fill="E7F0F9"/>
          </w:tcPr>
          <w:p>
            <w:pPr>
              <w:spacing w:before="0" w:after="0" w:line="240" w:lineRule="auto"/>
              <w:jc w:val="left"/>
            </w:pPr>
            <w:r>
              <w:rPr>
                <w:b/>
              </w:rPr>
              <w:t xml:space="preserve">Naziv obveznika</w:t>
            </w:r>
          </w:p>
        </w:tc>
        <w:tc>
          <w:tcPr>
            <w:shd w:val="clear" w:color="auto" w:fill="E7F0F9"/>
          </w:tcPr>
          <w:p>
            <w:pPr>
              <w:spacing w:before="0" w:after="0" w:line="240" w:lineRule="auto"/>
              <w:jc w:val="left"/>
            </w:pPr>
            <w:r>
              <w:t xml:space="preserve">OPĆINA KAMANJE</w:t>
            </w:r>
          </w:p>
        </w:tc>
      </w:tr>
      <w:tr>
        <w:tc>
          <w:tcPr>
            <w:tcW w:w="1200" w:type="pct"/>
            <w:shd w:val="clear" w:color="auto" w:fill="E7F0F9"/>
          </w:tcPr>
          <w:p>
            <w:pPr>
              <w:spacing w:before="0" w:after="0" w:line="240" w:lineRule="auto"/>
              <w:jc w:val="left"/>
            </w:pPr>
            <w:r>
              <w:rPr>
                <w:b/>
              </w:rPr>
              <w:t xml:space="preserve">Razina</w:t>
            </w:r>
          </w:p>
        </w:tc>
        <w:tc>
          <w:tcPr>
            <w:shd w:val="clear" w:color="auto" w:fill="E7F0F9"/>
          </w:tcPr>
          <w:p>
            <w:pPr>
              <w:spacing w:before="0" w:after="0" w:line="240" w:lineRule="auto"/>
              <w:jc w:val="left"/>
            </w:pPr>
            <w:r>
              <w:t xml:space="preserve">23</w:t>
            </w:r>
          </w:p>
        </w:tc>
      </w:tr>
    </w:tbl>
    <w:p>
      <w:r>
        <w:br/>
      </w:r>
    </w:p>
    <w:p>
      <w:pPr>
        <w:jc w:val="center"/>
        <w:pStyle w:val="Normal"/>
        <w:spacing w:line="240" w:lineRule="auto"/>
      </w:pPr>
      <w:r>
        <w:rPr>
          <w:b/>
          <w:sz w:val="28"/>
          <w:rFonts w:ascii="Times New Roman" w:hAnsi="Times New Roman"/>
        </w:rPr>
        <w:t xml:space="preserve">BILJEŠKE UZ FINANCIJSKE IZVJEŠTAJE</w:t>
      </w:r>
    </w:p>
    <w:p>
      <w:pPr>
        <w:jc w:val="center"/>
        <w:pStyle w:val="Normal"/>
        <w:spacing w:line="240" w:lineRule="auto"/>
      </w:pPr>
      <w:r>
        <w:rPr>
          <w:b/>
          <w:sz w:val="28"/>
          <w:rFonts w:ascii="Times New Roman" w:hAnsi="Times New Roman"/>
        </w:rPr>
        <w:t xml:space="preserve">ZA RAZDOBLJE</w:t>
      </w:r>
    </w:p>
    <w:p>
      <w:pPr>
        <w:jc w:val="center"/>
        <w:pStyle w:val="Normal"/>
        <w:spacing w:line="240" w:lineRule="auto"/>
      </w:pPr>
      <w:r>
        <w:rPr>
          <w:b/>
          <w:sz w:val="28"/>
          <w:rFonts w:ascii="Times New Roman" w:hAnsi="Times New Roman"/>
        </w:rPr>
        <w:t xml:space="preserve">I - XII 2025.</w:t>
      </w:r>
    </w:p>
    <w:p/>
    <w:p>
      <w:pPr>
        <w:jc w:val="center"/>
        <w:pStyle w:val="Normal"/>
        <w:spacing w:line="240" w:lineRule="auto"/>
        <w:keepNext/>
      </w:pPr>
      <w:r>
        <w:rPr>
          <w:b/>
          <w:sz w:val="28"/>
          <w:rFonts w:ascii="Times New Roman" w:hAnsi="Times New Roman"/>
        </w:rPr>
        <w:t xml:space="preserve">Izvještaj o prihodima i rashodima, primicima i izdacima</w:t>
      </w:r>
    </w:p>
    <w:p>
      <w:pPr>
        <w:jc w:val="center"/>
        <w:pStyle w:val="Normal"/>
        <w:spacing w:line="240" w:lineRule="auto"/>
        <w:keepNext/>
      </w:pPr>
      <w:r>
        <w:rPr>
          <w:sz w:val="28"/>
          <w:rFonts w:ascii="Times New Roman" w:hAnsi="Times New Roman"/>
        </w:rPr>
        <w:t xml:space="preserve">Bilješka 1.</w:t>
      </w:r>
    </w:p>
    <w:tbl>
      <w:tblPr>
        <w:tblBorders>
          <w:top w:val="single" w:color="BABABA" w:sz="12"/>
          <w:bottom w:val="single" w:color="BABABA" w:sz="12"/>
          <w:left w:val="single" w:color="BABABA" w:sz="12"/>
          <w:right w:val="single" w:color="BABABA" w:sz="12"/>
          <w:insideH w:val="single" w:color="BABABA" w:sz="8"/>
          <w:insideV w:val="single" w:color="DADADA" w:sz="8"/>
        </w:tblBorders>
        <w:tblW w:w="0" w:type="auto"/>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POSLOVANJA (šifre 61+62+63+64+65+66+67+68)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663.830,62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790.868,80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119,1</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POSLOVANJA (šifre 31+32+34+35+36+37+38)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826.610,70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561.895,34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68,0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POSLOVANJA (šifre 6-Z005)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228.973,46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nefinancijske imovine (šifre 71+72+73+74)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378,00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3.175,00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839,9</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Rashodi za nabavu nefinancijske imovine (šifre 41+42+43+44+45)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6.727,03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152.684,99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2269,7</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PRIHODA OD NEFINANCIJSKE IMOVINE (šifre 4-7)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6.349,03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149.509,99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2354,8</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132.450,00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151,0</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339.061,98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221.412,50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65,3</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MANJAK PRIMITAKA OD FINANCIJSKE IMOVINE I ZADUŽIVANJA (šifre 5-8)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Y003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206.611,98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21.412,50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10,4</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VIŠAK PRIHODA I PRIMITAKA (šifre X678-Y345)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b/>
              </w:rPr>
              <w:t>X005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58.050,97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b/>
              </w:rPr>
              <w:t>-</w:t>
            </w:r>
          </w:p>
        </w:tc>
      </w:tr>
    </w:tbl>
    <w:p>
      <w:pPr>
        <w:spacing w:before="0" w:after="0"/>
      </w:pPr>
    </w:p>
    <w:p>
      <w:r>
        <w:t xml:space="preserve">U obrascu PR-RAS za izvještajno razdoblje iskazani su ukupni prihodi poslovanja u iznosu od 790.868,80 EUR te ukupni rashodi poslovanja u iznosu od 561.895,34 EUR, čime je ostvaren višak prihoda poslovanja u iznosu od 228.973,46 EUR. Višak prihoda rezultat je manje realizacije pojedinih planiranih rashoda (niža dinamika izvršenja). Prihodi od prodaje nefinancijske imovine ostvareni su u iznosu od 3.175,00 EUR, dok rashodi za nabavu nefinancijske imovine iznose 152.684,99 EUR, slijedom čega je evidentiran manjak prihoda od nefinancijske imovine u iznosu od 149.509,99 EUR. Manjak prihoda od nefinancijske imovine nastao je zbog značajno većih rashoda za nabavu nefinancijske imovine (ulaganja u građevinske objekte, opremu) u odnosu na ostvarene prihode od prodaje imovine. U izvještajnom razdoblju realizirane su planirane investicije, dok su prihodi od prodaje imovine ostvareni u manjem obujmu, što je rezultiralo iskazanim manjkom u ovoj kategoriji. Ukupni primici od financijske imovine i zaduživanja iznose 200.000,00 EUR, dok izdaci za financijsku imovinu i otplate zajmova iznose 221.412,50 EUR, čime je u tom segmentu iskazan manjak od 21.412,50 EUR.</w:t>
      </w:r>
    </w:p>
    <w:p>
      <w:r>
        <w:t xml:space="preserve">Sukladno navedenom, u izvještajnom razdoblju ostvaren je ukupni višak prihoda i primitaka u iznosu od 58.050,97 EUR.</w:t>
      </w:r>
    </w:p>
    <w:p>
      <w:r>
        <w:br/>
      </w:r>
    </w:p>
    <w:p>
      <w:pPr>
        <w:jc w:val="center"/>
        <w:pStyle w:val="Normal"/>
        <w:spacing w:line="240" w:lineRule="auto"/>
        <w:keepNext/>
      </w:pPr>
      <w:r>
        <w:rPr>
          <w:sz w:val="28"/>
          <w:rFonts w:ascii="Times New Roman" w:hAnsi="Times New Roman"/>
        </w:rPr>
        <w:t xml:space="preserve">Bilješka 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Porez na dohodak od kapitala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56.184,85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100.186,24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178,3</w:t>
            </w:r>
          </w:p>
        </w:tc>
      </w:tr>
    </w:tbl>
    <w:p>
      <w:pPr>
        <w:spacing w:before="0" w:after="0"/>
      </w:pPr>
    </w:p>
    <w:p>
      <w:r>
        <w:t xml:space="preserve">Prihodi od poreza na dohodak od kapitala u 2025. godini stvareni su u 78-postotnom iznosu višem u odnosu na 2024. godinu. Povećanje je rezultat očekivanog rasta isplata dividendi i udjela u dobiti, viših kamatnih stopa koje povećavaju oporezive kamate na štednju, te većeg obujma trgovanja financijskom imovinom što dovodi do rasta kapitalnih dobitaka. Dio povećanja odnosi se i na jednokratne porezne događaje koji nisu bili prisutni u prethodnoj godini. Budući da su ovi prihodi promjenjivi i ovise o tržišnim kretanjima, njihov rast se ne smatra trajnim izvorom poreznih prihoda.</w:t>
      </w:r>
    </w:p>
    <w:p/>
    <w:p>
      <w:pPr>
        <w:jc w:val="center"/>
        <w:pStyle w:val="Normal"/>
        <w:spacing w:line="240" w:lineRule="auto"/>
        <w:keepNext/>
      </w:pPr>
      <w:r>
        <w:rPr>
          <w:sz w:val="28"/>
          <w:rFonts w:ascii="Times New Roman" w:hAnsi="Times New Roman"/>
        </w:rPr>
        <w:t xml:space="preserve">Bilješka 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6115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Porez na dohodak po godišnjoj prijavi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6115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22.612,56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10.848,27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48,0</w:t>
            </w:r>
          </w:p>
        </w:tc>
      </w:tr>
    </w:tbl>
    <w:p>
      <w:pPr>
        <w:spacing w:before="0" w:after="0"/>
      </w:pPr>
    </w:p>
    <w:p>
      <w:pPr>
        <w:jc w:val="both"/>
      </w:pPr>
      <w:r>
        <w:t xml:space="preserve">Prihod od poreza na dohodak po godišnjoj prijavi u 2025. godini ostvaren je u iznosu koji je za 52% niži u odnosu na 2024. godinu. Smanjenje proizlazi iz očekivanog manjeg broja obveznika godišnje prijave, nižih doplata poreza zbog poreznih izmjena koje povećavaju osobne odbitke i smanjuju efektivne stope, te većeg iznosa povrata poreza građanima temeljem preplaćenog poreza u prethodnoj godini. Budući da ovaj prihod ovisi o individualnim godišnjim obračunima i značajno varira iz godine u godinu, pad se smatra uobičajenim i ne utječe na stabilnost redovnih prihoda od poreza na dohodak.</w:t>
      </w:r>
    </w:p>
    <w:p/>
    <w:p>
      <w:pPr>
        <w:jc w:val="center"/>
        <w:pStyle w:val="Normal"/>
        <w:spacing w:line="240" w:lineRule="auto"/>
        <w:keepNext/>
      </w:pPr>
      <w:r>
        <w:rPr>
          <w:sz w:val="28"/>
          <w:rFonts w:ascii="Times New Roman" w:hAnsi="Times New Roman"/>
        </w:rPr>
        <w:t xml:space="preserve">Bilješka 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6117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Povrat poreza na dohodak po godišnjoj prijavi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6117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51.035,41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66.386,06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130,1</w:t>
            </w:r>
          </w:p>
        </w:tc>
      </w:tr>
    </w:tbl>
    <w:p>
      <w:pPr>
        <w:spacing w:before="0" w:after="0"/>
      </w:pPr>
    </w:p>
    <w:p>
      <w:r>
        <w:t xml:space="preserve">Iznos povrata poreza na dohodak po godišnjoj prijavi u 2025. godini iznosio je 66.386,06 €, što je 30% više u odnosu na 2024. godinu kada je ostvaren povrat od 51.035,41 €. Povećanje proizlazi iz većeg broja poreznih obveznika koji su podnijeli godišnje prijave radi korištenja dodatnih poreznih olakšica, osobito putem obrasca ZPP‑DOH, te iz povećanog iznosa preplaćenog poreza tijekom godine. Dodatno, na rast povrata utjecale su porezne promjene koje su smanjile konačnu poreznu obvezu, kao i veći broj mladih obveznika koji ostvaruju pravo na povrat. Budući da se povrat poreza temelji na individualnim godišnjim obračunima i značajno varira iz godine u godinu, povećanje u 2025. godini smatra se uobičajenim odstupanjem.</w:t>
      </w:r>
    </w:p>
    <w:p/>
    <w:p>
      <w:pPr>
        <w:jc w:val="center"/>
        <w:pStyle w:val="Normal"/>
        <w:spacing w:line="240" w:lineRule="auto"/>
        <w:keepNext/>
      </w:pPr>
      <w:r>
        <w:rPr>
          <w:sz w:val="28"/>
          <w:rFonts w:ascii="Times New Roman" w:hAnsi="Times New Roman"/>
        </w:rPr>
        <w:t xml:space="preserve">Bilješka 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Porezi na imovinu (šifre 6131 do 6135)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16.517,84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10.594,73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64,1</w:t>
            </w:r>
          </w:p>
        </w:tc>
      </w:tr>
    </w:tbl>
    <w:p>
      <w:pPr>
        <w:spacing w:before="0" w:after="0"/>
      </w:pPr>
    </w:p>
    <w:p>
      <w:r>
        <w:t xml:space="preserve">Prihod od poreza na imovinu u 2025. godini ostvaren je u iznosu od 10.549,73 €, što je niže u odnosu na 2024. godinu kada je ostvaren prihod od 16.517,84 €. Smanjenje proizlazi ponajprije iz manjeg obujma kapitalnih i financijskih transakcija te smanjenog broja postupaka nasljeđivanja i darovanja nekretnina u odnosu na prethodnu godinu. Dodatno, u 2024. godini evidentirane su jednokratne uplate koje nisu ponovljene u 2025., što je utjecalo na ukupno smanjenje prihoda. Budući da se porezi na imovinu značajno razlikuju iz godine u godinu i ovise o pojedinačnim imovinskim transakcijama, ovakva odstupanja smatraju se uobičajenima. </w:t>
      </w:r>
    </w:p>
    <w:p/>
    <w:p>
      <w:pPr>
        <w:jc w:val="center"/>
        <w:pStyle w:val="Normal"/>
        <w:spacing w:line="240" w:lineRule="auto"/>
        <w:keepNext/>
      </w:pPr>
      <w:r>
        <w:rPr>
          <w:sz w:val="28"/>
          <w:rFonts w:ascii="Times New Roman" w:hAnsi="Times New Roman"/>
        </w:rPr>
        <w:t xml:space="preserve">Bilješka 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6142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Porez na promet</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6142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4.951,26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6.543,19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132,2</w:t>
            </w:r>
          </w:p>
        </w:tc>
      </w:tr>
    </w:tbl>
    <w:p>
      <w:pPr>
        <w:spacing w:before="0" w:after="0"/>
      </w:pPr>
    </w:p>
    <w:p>
      <w:r>
        <w:t xml:space="preserve">Prihod od poreza na potrošnju alkoholnih i bezalkoholnih pića u 2025. godini ostvaren je u većem iznosu nego u 2024. godini. Povećanje proizlazi iz rasta prometa u ugostiteljskim objektima, viših prodajnih cijena pića te povoljnijih turističkih i gospodarskih kretanja koja su rezultirala većom potrošnjom. Dodatno, na rast prihoda utjecala je i bolja fiskalna disciplina ugostitelja te veći broj aktivnih objekata u odnosu na prethodnu godinu</w:t>
      </w:r>
    </w:p>
    <w:p/>
    <w:p>
      <w:pPr>
        <w:jc w:val="center"/>
        <w:pStyle w:val="Normal"/>
        <w:spacing w:line="240" w:lineRule="auto"/>
        <w:keepNext/>
      </w:pPr>
      <w:r>
        <w:rPr>
          <w:sz w:val="28"/>
          <w:rFonts w:ascii="Times New Roman" w:hAnsi="Times New Roman"/>
        </w:rPr>
        <w:t xml:space="preserve">Bilješka 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pomoći proračunu i izvanproračunskim korisnicima iz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116.773,17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18.330,64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15,7</w:t>
            </w:r>
          </w:p>
        </w:tc>
      </w:tr>
    </w:tbl>
    <w:p>
      <w:pPr>
        <w:spacing w:before="0" w:after="0"/>
      </w:pPr>
    </w:p>
    <w:p>
      <w:r>
        <w:t xml:space="preserve">U 2024. godini na računu 6331 knjiženi su prihodi fiskalnog izravnanja dok su u 2025. godini isti prihodi knjiženi na račun 6353 što je rezultiralo niskim indeksom na računu 6331</w:t>
      </w:r>
    </w:p>
    <w:p/>
    <w:p>
      <w:pPr>
        <w:jc w:val="center"/>
        <w:pStyle w:val="Normal"/>
        <w:spacing w:line="240" w:lineRule="auto"/>
        <w:keepNext/>
      </w:pPr>
      <w:r>
        <w:rPr>
          <w:sz w:val="28"/>
          <w:rFonts w:ascii="Times New Roman" w:hAnsi="Times New Roman"/>
        </w:rPr>
        <w:t xml:space="preserve">Bilješka 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Kapitalne pomoći proračunu i izvanproračunskim korisnicima iz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6332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20.148,50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78.000,00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387,1</w:t>
            </w:r>
          </w:p>
        </w:tc>
      </w:tr>
    </w:tbl>
    <w:p>
      <w:pPr>
        <w:spacing w:before="0" w:after="0"/>
      </w:pPr>
    </w:p>
    <w:p>
      <w:r>
        <w:t xml:space="preserve">U 2025. godini ostvarene su kapitalne pomoći iz nacionalnih fondova (Ministarstvo regionalnog razvoja i Karlovačka županija) za projekte koji se nisu provodili u prethodnoj godini</w:t>
      </w:r>
    </w:p>
    <w:p/>
    <w:p>
      <w:pPr>
        <w:jc w:val="center"/>
        <w:pStyle w:val="Normal"/>
        <w:spacing w:line="240" w:lineRule="auto"/>
        <w:keepNext/>
      </w:pPr>
      <w:r>
        <w:rPr>
          <w:sz w:val="28"/>
          <w:rFonts w:ascii="Times New Roman" w:hAnsi="Times New Roman"/>
        </w:rPr>
        <w:t xml:space="preserve">Bilješka 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6531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Komunalni doprinosi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6531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184,80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2.147,36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1162,0</w:t>
            </w:r>
          </w:p>
        </w:tc>
      </w:tr>
    </w:tbl>
    <w:p>
      <w:pPr>
        <w:spacing w:before="0" w:after="0"/>
      </w:pPr>
    </w:p>
    <w:p>
      <w:r>
        <w:t xml:space="preserve">Tijekom 2025. godine izdano je više rješenja za obračun komunalnog doprinosa po izdanim građevinskim dozvolama u odnosu na 2024. godinu.</w:t>
      </w:r>
    </w:p>
    <w:p/>
    <w:p>
      <w:pPr>
        <w:jc w:val="center"/>
        <w:pStyle w:val="Normal"/>
        <w:spacing w:line="240" w:lineRule="auto"/>
        <w:keepNext/>
      </w:pPr>
      <w:r>
        <w:rPr>
          <w:sz w:val="28"/>
          <w:rFonts w:ascii="Times New Roman" w:hAnsi="Times New Roman"/>
        </w:rPr>
        <w:t xml:space="preserve">Bilješka 10.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6615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pruženih usluga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6615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6.787,50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660,00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9,7</w:t>
            </w:r>
          </w:p>
        </w:tc>
      </w:tr>
    </w:tbl>
    <w:p>
      <w:pPr>
        <w:spacing w:before="0" w:after="0"/>
      </w:pPr>
    </w:p>
    <w:p>
      <w:r>
        <w:t xml:space="preserve">Općina Kamanje putem Vlastitog pogona pruža usluge košnje u ljetnim mjesecima na zahtjev stranke. U 2025. godini bilo je manje takvih zahtjeva te je ostvaren manji prihod.</w:t>
      </w:r>
    </w:p>
    <w:p/>
    <w:p>
      <w:pPr>
        <w:jc w:val="center"/>
        <w:pStyle w:val="Normal"/>
        <w:spacing w:line="240" w:lineRule="auto"/>
        <w:keepNext/>
      </w:pPr>
      <w:r>
        <w:rPr>
          <w:sz w:val="28"/>
          <w:rFonts w:ascii="Times New Roman" w:hAnsi="Times New Roman"/>
        </w:rPr>
        <w:t xml:space="preserve">Bilješka 11.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Uredski materijal i ostali materijalni rashodi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4.842,49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14.175,48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292,7</w:t>
            </w:r>
          </w:p>
        </w:tc>
      </w:tr>
    </w:tbl>
    <w:p>
      <w:pPr>
        <w:spacing w:before="0" w:after="0"/>
      </w:pPr>
    </w:p>
    <w:p>
      <w:r>
        <w:t xml:space="preserve">Putem Ministartva demografije Općini Kamanje odobrena su sredstva za nabavku didaktičkih materijala za potrebe Dječjeg vrtića Kamanje što je rezultiralo iskazom većih rashoda na tom kontu.</w:t>
      </w:r>
    </w:p>
    <w:p/>
    <w:p>
      <w:pPr>
        <w:jc w:val="center"/>
        <w:pStyle w:val="Normal"/>
        <w:spacing w:line="240" w:lineRule="auto"/>
        <w:keepNext/>
      </w:pPr>
      <w:r>
        <w:rPr>
          <w:sz w:val="28"/>
          <w:rFonts w:ascii="Times New Roman" w:hAnsi="Times New Roman"/>
        </w:rPr>
        <w:t xml:space="preserve">Bilješka 12.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Materijal i dijelovi za tekuće i investicijsko održavanje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9.178,52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22.629,78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246,6</w:t>
            </w:r>
          </w:p>
        </w:tc>
      </w:tr>
    </w:tbl>
    <w:p>
      <w:pPr>
        <w:spacing w:before="0" w:after="0"/>
      </w:pPr>
    </w:p>
    <w:p>
      <w:r>
        <w:t xml:space="preserve">Općina Kamanje je tijekom 2025. godine provodila pojačano nasipavanje nerazvrstanih cesta i javnih površina što je izazvalo više troškove za materijal za nasipavanje.</w:t>
      </w:r>
    </w:p>
    <w:p/>
    <w:p>
      <w:pPr>
        <w:jc w:val="center"/>
        <w:pStyle w:val="Normal"/>
        <w:spacing w:line="240" w:lineRule="auto"/>
        <w:keepNext/>
      </w:pPr>
      <w:r>
        <w:rPr>
          <w:sz w:val="28"/>
          <w:rFonts w:ascii="Times New Roman" w:hAnsi="Times New Roman"/>
        </w:rPr>
        <w:t xml:space="preserve">Bilješka 13.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Usluge promidžbe i informiranja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589,82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2.687,64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455,7</w:t>
            </w:r>
          </w:p>
        </w:tc>
      </w:tr>
    </w:tbl>
    <w:p>
      <w:pPr>
        <w:spacing w:before="0" w:after="0"/>
      </w:pPr>
    </w:p>
    <w:p>
      <w:r>
        <w:t xml:space="preserve">Tijekom 2025. godine objavljivani su natječaji za zapošljavanje u Službenom listu RH, objavljivana je javna nabava, oglasi povodom provedbe izbora održanih u svibnju 2025. godine što je rezultiralo višim troškovima u odnosu na 2024. godinu.</w:t>
      </w:r>
    </w:p>
    <w:p/>
    <w:p>
      <w:pPr>
        <w:jc w:val="center"/>
        <w:pStyle w:val="Normal"/>
        <w:spacing w:line="240" w:lineRule="auto"/>
        <w:keepNext/>
      </w:pPr>
      <w:r>
        <w:rPr>
          <w:sz w:val="28"/>
          <w:rFonts w:ascii="Times New Roman" w:hAnsi="Times New Roman"/>
        </w:rPr>
        <w:t xml:space="preserve">Bilješka 14.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Komunalne usluge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8.691,52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13.549,64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155,9</w:t>
            </w:r>
          </w:p>
        </w:tc>
      </w:tr>
    </w:tbl>
    <w:p>
      <w:pPr>
        <w:spacing w:before="0" w:after="0"/>
      </w:pPr>
    </w:p>
    <w:p>
      <w:r>
        <w:t xml:space="preserve">Viši troškovi u 2025. godini odnose se na povećanje cijene vodnih usluga te usluga odvoza komunalnog otpada.</w:t>
      </w:r>
    </w:p>
    <w:p/>
    <w:p>
      <w:pPr>
        <w:jc w:val="center"/>
        <w:pStyle w:val="Normal"/>
        <w:spacing w:line="240" w:lineRule="auto"/>
        <w:keepNext/>
      </w:pPr>
      <w:r>
        <w:rPr>
          <w:sz w:val="28"/>
          <w:rFonts w:ascii="Times New Roman" w:hAnsi="Times New Roman"/>
        </w:rPr>
        <w:t xml:space="preserve">Bilješka 15.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Zakupnine i najamnine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4.917,50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7.822,47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159,1</w:t>
            </w:r>
          </w:p>
        </w:tc>
      </w:tr>
    </w:tbl>
    <w:p>
      <w:pPr>
        <w:spacing w:before="0" w:after="0"/>
      </w:pPr>
    </w:p>
    <w:p>
      <w:r>
        <w:t xml:space="preserve">Viši troškovi u 2025. godini odnose se na najam opreme (šatora, razglasa) povodom održavanja manifestacija na području Općine Kamanje</w:t>
      </w:r>
    </w:p>
    <w:p/>
    <w:p>
      <w:pPr>
        <w:jc w:val="center"/>
        <w:pStyle w:val="Normal"/>
        <w:spacing w:line="240" w:lineRule="auto"/>
        <w:keepNext/>
      </w:pPr>
      <w:r>
        <w:rPr>
          <w:sz w:val="28"/>
          <w:rFonts w:ascii="Times New Roman" w:hAnsi="Times New Roman"/>
        </w:rPr>
        <w:t xml:space="preserve">Bilješka 16.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Intelektualne i osobne usluge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3237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25.421,41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40.211,12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158,2</w:t>
            </w:r>
          </w:p>
        </w:tc>
      </w:tr>
    </w:tbl>
    <w:p>
      <w:pPr>
        <w:spacing w:before="0" w:after="0"/>
      </w:pPr>
    </w:p>
    <w:p>
      <w:r>
        <w:t xml:space="preserve">Tijekom 2025. godine viši troškovi intelektualnih usluga odnose se na konzultantske usluge za izradu i prijavu projekta na "Jačanje kapaciteta za protupožarnu zaštitu na brdsko - planinskim i potpomognutim područjima - faza 2 (ref. br. PK.3.4.10) te na troškove p'rocjenitelja u postupku izvlaštenja nekreznina za pripremu dokumentacije za rekonstrukciju ceste DC228</w:t>
      </w:r>
    </w:p>
    <w:p/>
    <w:p>
      <w:pPr>
        <w:jc w:val="center"/>
        <w:pStyle w:val="Normal"/>
        <w:spacing w:line="240" w:lineRule="auto"/>
        <w:keepNext/>
      </w:pPr>
      <w:r>
        <w:rPr>
          <w:sz w:val="28"/>
          <w:rFonts w:ascii="Times New Roman" w:hAnsi="Times New Roman"/>
        </w:rPr>
        <w:t xml:space="preserve">Bilješka 17.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Naknade za rad predstavničkih i izvršnih tijela, povjerenstava i slično</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3291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1.902,24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8.719,78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458,4</w:t>
            </w:r>
          </w:p>
        </w:tc>
      </w:tr>
    </w:tbl>
    <w:p>
      <w:pPr>
        <w:spacing w:before="0" w:after="0"/>
      </w:pPr>
    </w:p>
    <w:p>
      <w:r>
        <w:t xml:space="preserve">U svibnju 2025. godine provodili su se Lokalni izbori radi čega su nastali troškovi izbornih povjerenstava koji nisu bili u 2024. godini. </w:t>
      </w:r>
    </w:p>
    <w:p/>
    <w:p>
      <w:pPr>
        <w:jc w:val="center"/>
        <w:pStyle w:val="Normal"/>
        <w:spacing w:line="240" w:lineRule="auto"/>
        <w:keepNext/>
      </w:pPr>
      <w:r>
        <w:rPr>
          <w:sz w:val="28"/>
          <w:rFonts w:ascii="Times New Roman" w:hAnsi="Times New Roman"/>
        </w:rPr>
        <w:t xml:space="preserve">Bilješka 18.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Kamate za primljene kredite i zajmove (šifre 3421 do 3428)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4.978,42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2.324,58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46,7</w:t>
            </w:r>
          </w:p>
        </w:tc>
      </w:tr>
    </w:tbl>
    <w:p>
      <w:pPr>
        <w:spacing w:before="0" w:after="0"/>
      </w:pPr>
    </w:p>
    <w:p>
      <w:r>
        <w:t xml:space="preserve">Općina Kamanje je tijekom 2024. godine zatvorila kreditna zaduženja te su u 2025. godini iskazani niži troškovi za kamate za kreditna zaduženja.</w:t>
      </w:r>
    </w:p>
    <w:p/>
    <w:p>
      <w:pPr>
        <w:jc w:val="center"/>
        <w:pStyle w:val="Normal"/>
        <w:spacing w:line="240" w:lineRule="auto"/>
        <w:keepNext/>
      </w:pPr>
      <w:r>
        <w:rPr>
          <w:sz w:val="28"/>
          <w:rFonts w:ascii="Times New Roman" w:hAnsi="Times New Roman"/>
        </w:rPr>
        <w:t xml:space="preserve">Bilješka 19.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Subvencije (šifre 351+352+353)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1.247,60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2.250,00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180,3</w:t>
            </w:r>
          </w:p>
        </w:tc>
      </w:tr>
    </w:tbl>
    <w:p>
      <w:pPr>
        <w:spacing w:before="0" w:after="0"/>
      </w:pPr>
    </w:p>
    <w:p>
      <w:r>
        <w:t xml:space="preserve">Općina Kamanje svake godine raspisuje natječaje za potpore u poljoprivredi. S obzirom da je u 2025. godini bilo više prijava, utrošeno je više sredstava za navedene potpore.</w:t>
      </w:r>
    </w:p>
    <w:p/>
    <w:p>
      <w:pPr>
        <w:jc w:val="center"/>
        <w:pStyle w:val="Normal"/>
        <w:spacing w:line="240" w:lineRule="auto"/>
        <w:keepNext/>
      </w:pPr>
      <w:r>
        <w:rPr>
          <w:sz w:val="28"/>
          <w:rFonts w:ascii="Times New Roman" w:hAnsi="Times New Roman"/>
        </w:rPr>
        <w:t xml:space="preserve">Bilješka 20.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Tekuće donacije u novcu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3811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29.421,68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37.971,91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129,1</w:t>
            </w:r>
          </w:p>
        </w:tc>
      </w:tr>
    </w:tbl>
    <w:p>
      <w:pPr>
        <w:spacing w:before="0" w:after="0"/>
      </w:pPr>
    </w:p>
    <w:p>
      <w:r>
        <w:t xml:space="preserve">Općina Kamanje u 2025. godini isplatila je više sredstava Vatrogasnoj zajednici Općine Kamanje u skladu sa odredbama Zakona o vatrogastvu te dodijeljeno je i više donacija udrugama i organizacijama koje djeluju na području Općine. Povećanje je posljedica većeg broja zahtjeva te potrebe za podrškom programima od interesa za lokalnu zajednicu, uključujući manifestacije, sportska natjecanja, kulturne događaje i druge aktivnosti koje doprinose društvenom životu Općine.</w:t>
      </w:r>
    </w:p>
    <w:p/>
    <w:p>
      <w:pPr>
        <w:jc w:val="center"/>
        <w:pStyle w:val="Normal"/>
        <w:spacing w:line="240" w:lineRule="auto"/>
        <w:keepNext/>
      </w:pPr>
      <w:r>
        <w:rPr>
          <w:sz w:val="28"/>
          <w:rFonts w:ascii="Times New Roman" w:hAnsi="Times New Roman"/>
        </w:rPr>
        <w:t xml:space="preserve">Bilješka 21.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Obračunati prihodi poslovanja - nenaplaćeni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96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15.684,55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51.825,75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330,4</w:t>
            </w:r>
          </w:p>
        </w:tc>
      </w:tr>
    </w:tbl>
    <w:p>
      <w:pPr>
        <w:spacing w:before="0" w:after="0"/>
      </w:pPr>
    </w:p>
    <w:p>
      <w:r>
        <w:t xml:space="preserve">Obračunati prihodi poslovanja - nenaplaćeni najvećim dijelom (30.000,00 eura) odnose se na odobrena sredstva Ministrstva regionalnog razvoja za opremanje dječjeg igrališta u Kamanju, a koja nisu isplaćena tijekom 2025. godine. Nenaplaćena nedospjela potraživanja za sufinanciranje boravka djece u Dječjem vrtiću iznose 4.446,38 €, nedospjela potraživanja za komunalni doprinos u iznosu od 4.252,48 €, dok su ostala potraživanja dospjela, a najvežim dijelom se odnose na komunalnu naknadu u iznosu od 8.281,33 €.</w:t>
      </w:r>
    </w:p>
    <w:p/>
    <w:p>
      <w:pPr>
        <w:jc w:val="center"/>
        <w:pStyle w:val="Normal"/>
        <w:spacing w:line="240" w:lineRule="auto"/>
        <w:keepNext/>
      </w:pPr>
      <w:r>
        <w:rPr>
          <w:sz w:val="28"/>
          <w:rFonts w:ascii="Times New Roman" w:hAnsi="Times New Roman"/>
        </w:rPr>
        <w:t xml:space="preserve">Bilješka 22.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Prihodi od prodaje proizvedene dugotrajne imovine (šifre 721+722+723+724+725+726)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72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3.015,00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Općina Kamanje je u 2025. godini provela postupak raspolaganja imovinom te je raspisala natječaj za prodaju radnog stroja – dizalice, u skladu s propisima koji uređuju upravljanje i raspolaganje imovinom jedinica lokalne samouprave. Natječaj je objavljen radi transparentnog i zakonitog provođenja postupka prodaje, uz osiguravanje jednakih uvjeta svim zainteresiranim ponuditeljima. Prodaja radnog stroja provedena je jer je oprema postala neophodna za zamjenu, više nije bila u funkciji obavljanja komunalnih poslova te je ekonomski neisplativa za daljnje održavanje, pa je Općina odlučila racionalno upravljati svojom imovinom i ostvariti prihod putem javnog natječaja.</w:t>
      </w:r>
    </w:p>
    <w:p/>
    <w:p>
      <w:pPr>
        <w:jc w:val="center"/>
        <w:pStyle w:val="Normal"/>
        <w:spacing w:line="240" w:lineRule="auto"/>
        <w:keepNext/>
      </w:pPr>
      <w:r>
        <w:rPr>
          <w:sz w:val="28"/>
          <w:rFonts w:ascii="Times New Roman" w:hAnsi="Times New Roman"/>
        </w:rPr>
        <w:t xml:space="preserve">Bilješka 23.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4126</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Ostala nematerijalna imovina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4126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Općina Kamanje je u 2025. godini nadokupila programska rješenja potrebna za uvođenje sustava riznice jer su izmjene Pravilnika o proračunskom računovodstvu propisale obvezu prilagodbe informacijskih sustava jedinica lokalne samouprave što je rezultiralo troškovima koji nisu bili u 2024. godini</w:t>
      </w:r>
    </w:p>
    <w:p/>
    <w:p>
      <w:pPr>
        <w:jc w:val="center"/>
        <w:pStyle w:val="Normal"/>
        <w:spacing w:line="240" w:lineRule="auto"/>
        <w:keepNext/>
      </w:pPr>
      <w:r>
        <w:rPr>
          <w:sz w:val="28"/>
          <w:rFonts w:ascii="Times New Roman" w:hAnsi="Times New Roman"/>
        </w:rPr>
        <w:t xml:space="preserve">Bilješka 24.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Ceste, željeznice i ostali prometni objekti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47.701,24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Općina Kamanje je u 2025. godini provodila projekt modernizacije nerazvrstanih cesta te je nastao trošak u iznosu od 47.701,24 €, dok u prethodnoj godini nije provodila projekte na nerazvrstanim prometnicama.</w:t>
      </w:r>
    </w:p>
    <w:p/>
    <w:p>
      <w:pPr>
        <w:jc w:val="center"/>
        <w:pStyle w:val="Normal"/>
        <w:spacing w:line="240" w:lineRule="auto"/>
        <w:keepNext/>
      </w:pPr>
      <w:r>
        <w:rPr>
          <w:sz w:val="28"/>
          <w:rFonts w:ascii="Times New Roman" w:hAnsi="Times New Roman"/>
        </w:rPr>
        <w:t xml:space="preserve">Bilješka 25.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Ostali građevinski objekti</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4214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19.673,75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Trošak se odnosi na modernizaciju javne rasvjete u naselju Orljakovu koji je započet u 2024. godini, a finaliziran u 2025. godini.</w:t>
      </w:r>
    </w:p>
    <w:p/>
    <w:p>
      <w:pPr>
        <w:jc w:val="center"/>
        <w:pStyle w:val="Normal"/>
        <w:spacing w:line="240" w:lineRule="auto"/>
        <w:keepNext/>
      </w:pPr>
      <w:r>
        <w:rPr>
          <w:sz w:val="28"/>
          <w:rFonts w:ascii="Times New Roman" w:hAnsi="Times New Roman"/>
        </w:rPr>
        <w:t xml:space="preserve">Bilješka 26.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Uredska oprema i namještaj</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99,00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2.668,75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2695,7</w:t>
            </w:r>
          </w:p>
        </w:tc>
      </w:tr>
    </w:tbl>
    <w:p>
      <w:pPr>
        <w:spacing w:before="0" w:after="0"/>
      </w:pPr>
    </w:p>
    <w:p>
      <w:r>
        <w:t xml:space="preserve">Trošak se odnosi na nabavku stolnog računala i opreme za back up podataka što je nabavljeno u 2025. godini, a takav trošak nije nastao u 2024. godini.</w:t>
      </w:r>
    </w:p>
    <w:p/>
    <w:p>
      <w:pPr>
        <w:jc w:val="center"/>
        <w:pStyle w:val="Normal"/>
        <w:spacing w:line="240" w:lineRule="auto"/>
        <w:keepNext/>
      </w:pPr>
      <w:r>
        <w:rPr>
          <w:sz w:val="28"/>
          <w:rFonts w:ascii="Times New Roman" w:hAnsi="Times New Roman"/>
        </w:rPr>
        <w:t xml:space="preserve">Bilješka 27.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Uređaji, strojevi i oprema za ostale namjene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4227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399,00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68.641,25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&gt;&gt;100</w:t>
            </w:r>
          </w:p>
        </w:tc>
      </w:tr>
    </w:tbl>
    <w:p>
      <w:pPr>
        <w:spacing w:before="0" w:after="0"/>
      </w:pPr>
    </w:p>
    <w:p>
      <w:r>
        <w:t xml:space="preserve">U 2025. godini Općina je provodila dva projekta uređenja dječjih igrališta za koje su nabavljane opreme odnosno igrala dok je u prethodnoj godini takav trošak bio znatno niži.</w:t>
      </w:r>
    </w:p>
    <w:p/>
    <w:p>
      <w:pPr>
        <w:jc w:val="center"/>
        <w:pStyle w:val="Normal"/>
        <w:spacing w:line="240" w:lineRule="auto"/>
        <w:keepNext/>
      </w:pPr>
      <w:r>
        <w:rPr>
          <w:sz w:val="28"/>
          <w:rFonts w:ascii="Times New Roman" w:hAnsi="Times New Roman"/>
        </w:rPr>
        <w:t xml:space="preserve">Bilješka 28.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4263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Umjetnička, literarna i znanstvena djela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4263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Trošak od 10.000,00 € odnosi se na izradu Urbanističkog plana uređenja groblja u Kamanju.</w:t>
      </w:r>
    </w:p>
    <w:p/>
    <w:p>
      <w:pPr>
        <w:jc w:val="center"/>
        <w:pStyle w:val="Normal"/>
        <w:spacing w:line="240" w:lineRule="auto"/>
        <w:keepNext/>
      </w:pPr>
      <w:r>
        <w:rPr>
          <w:sz w:val="28"/>
          <w:rFonts w:ascii="Times New Roman" w:hAnsi="Times New Roman"/>
        </w:rPr>
        <w:t xml:space="preserve">Bilješka 29.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Primici od financijske imovine i zaduživanja (šifre 81+82+83+84+85)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132.450,00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151,0</w:t>
            </w:r>
          </w:p>
        </w:tc>
      </w:tr>
    </w:tbl>
    <w:p>
      <w:pPr>
        <w:spacing w:before="0" w:after="0"/>
      </w:pPr>
    </w:p>
    <w:p>
      <w:r>
        <w:t xml:space="preserve">Općini Kamanje odobreno je prekoračenje po žiro računu što je iskazano kao primici od zaduživanja, dok je u prethodnoj godini bilo odobreno kratkoročno zaduženje od Karlovačke banke d.d.</w:t>
      </w:r>
    </w:p>
    <w:p/>
    <w:p>
      <w:pPr>
        <w:jc w:val="center"/>
        <w:pStyle w:val="Normal"/>
        <w:spacing w:line="240" w:lineRule="auto"/>
        <w:keepNext/>
      </w:pPr>
      <w:r>
        <w:rPr>
          <w:sz w:val="28"/>
          <w:rFonts w:ascii="Times New Roman" w:hAnsi="Times New Roman"/>
        </w:rPr>
        <w:t xml:space="preserve">Bilješka 30.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Izdaci za financijsku imovinu i otplate zajmova (šifre 51+52+53+54+55)</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339.061,98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221.412,50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65,3</w:t>
            </w:r>
          </w:p>
        </w:tc>
      </w:tr>
    </w:tbl>
    <w:p>
      <w:pPr>
        <w:spacing w:before="0" w:after="0"/>
      </w:pPr>
    </w:p>
    <w:p>
      <w:r>
        <w:t xml:space="preserve">Znatno veći izdatak za financijsku imovinu i otplate zajmova iskazan je u 2024. godini iz razloga što je Općina Kamanje imala odobreni kredit koji je do kraja 2024. godine zatvoren. Tijekom 2025. godine izdaci su se odnosili na zatvaranje krotkoročnih zaduženja.</w:t>
      </w:r>
    </w:p>
    <w:p/>
    <w:p>
      <w:pPr>
        <w:jc w:val="center"/>
        <w:pStyle w:val="Normal"/>
        <w:spacing w:line="240" w:lineRule="auto"/>
        <w:keepNext/>
      </w:pPr>
      <w:r>
        <w:rPr>
          <w:b/>
          <w:sz w:val="28"/>
          <w:rFonts w:ascii="Times New Roman" w:hAnsi="Times New Roman"/>
        </w:rPr>
        <w:t xml:space="preserve">Bilanca</w:t>
      </w:r>
    </w:p>
    <w:p>
      <w:pPr>
        <w:jc w:val="center"/>
        <w:pStyle w:val="Normal"/>
        <w:spacing w:line="240" w:lineRule="auto"/>
        <w:keepNext/>
      </w:pPr>
      <w:r>
        <w:rPr>
          <w:sz w:val="28"/>
          <w:rFonts w:ascii="Times New Roman" w:hAnsi="Times New Roman"/>
        </w:rPr>
        <w:t xml:space="preserve">Bilješka 31.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1112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Novac na računu kod tuzemnih poslovnih banaka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1112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47.641,53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147.929,04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310,5</w:t>
            </w:r>
          </w:p>
        </w:tc>
      </w:tr>
    </w:tbl>
    <w:p>
      <w:pPr>
        <w:spacing w:before="0" w:after="0"/>
      </w:pPr>
    </w:p>
    <w:p>
      <w:r>
        <w:t xml:space="preserve">Na računu općine na kraju 2025. godine evidentiran je iznos 147.929,04 eura, dok je na kraju prethodnog razdoblja stanje iznosilo 47.641,53 eura. Razlika između ta dva iznosa proizlazi iz činjenice da je na dan 31. 12. 2025. na žiro računu bio iskazan odobreni minus, odnosno dopušteno prekoračenje koje uvećava prikazano stanje računa.</w:t>
      </w:r>
    </w:p>
    <w:p/>
    <w:p>
      <w:pPr>
        <w:jc w:val="center"/>
        <w:pStyle w:val="Normal"/>
        <w:spacing w:line="240" w:lineRule="auto"/>
        <w:keepNext/>
      </w:pPr>
      <w:r>
        <w:rPr>
          <w:sz w:val="28"/>
          <w:rFonts w:ascii="Times New Roman" w:hAnsi="Times New Roman"/>
        </w:rPr>
        <w:t xml:space="preserve">Bilješka 32.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129</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Ostala potraživanja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129</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0,10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4.338,52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&gt;&gt;100</w:t>
            </w:r>
          </w:p>
        </w:tc>
      </w:tr>
    </w:tbl>
    <w:p>
      <w:pPr>
        <w:spacing w:before="0" w:after="0"/>
      </w:pPr>
    </w:p>
    <w:p>
      <w:r>
        <w:t xml:space="preserve">Potraživanje se odnosi na potraživanja proračunskog korisnika Dječji vrtić Kamanje za naknade za bolovanje koje se refundiraju te potraživanje Općine Kamanje za osiguranje vozila od Adriatic osiguranja. </w:t>
      </w:r>
    </w:p>
    <w:p/>
    <w:p>
      <w:pPr>
        <w:jc w:val="center"/>
        <w:pStyle w:val="Normal"/>
        <w:spacing w:line="240" w:lineRule="auto"/>
        <w:keepNext/>
      </w:pPr>
      <w:r>
        <w:rPr>
          <w:sz w:val="28"/>
          <w:rFonts w:ascii="Times New Roman" w:hAnsi="Times New Roman"/>
        </w:rPr>
        <w:t xml:space="preserve">Bilješka 33.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1521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Dionice i udjeli u glavnici trgovačkih društava u javnom sektoru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1521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1.061,78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w:t>
            </w:r>
          </w:p>
        </w:tc>
      </w:tr>
    </w:tbl>
    <w:p>
      <w:pPr>
        <w:spacing w:before="0" w:after="0"/>
      </w:pPr>
    </w:p>
    <w:p>
      <w:r>
        <w:t xml:space="preserve">Općina je imala vlasnički udjel u trgovačkom društvu Misterion Riviera d.o.o.koje tijekom 2025. godine ušlo u stečajni postupak. Otvaranjem stečaja prestala je mogućnost ostvarivanja ekonomske koristi iz tog ulaganja, zbog čega je izvršen ispravak odnosno otpis vrijednosti udjela u skladu s važećim računovodstvenim propisima.</w:t>
      </w:r>
    </w:p>
    <w:p/>
    <w:p>
      <w:pPr>
        <w:jc w:val="center"/>
        <w:pStyle w:val="Normal"/>
        <w:spacing w:line="240" w:lineRule="auto"/>
        <w:keepNext/>
      </w:pPr>
      <w:r>
        <w:rPr>
          <w:sz w:val="28"/>
          <w:rFonts w:ascii="Times New Roman" w:hAnsi="Times New Roman"/>
        </w:rPr>
        <w:t xml:space="preserve">Bilješka 34.</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1633</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Potraživanja za pomoći proračunu i izvanproračunskim korisnicima iz drugih proračuna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1633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30.000,00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Potraživanje se odnosi na potraživanje od Ministarstva regionalnog razvoja i fondova EU za projekt odobren po Programu održivog razvoja lokalne zajednice</w:t>
      </w:r>
    </w:p>
    <w:p/>
    <w:p>
      <w:pPr>
        <w:jc w:val="center"/>
        <w:pStyle w:val="Normal"/>
        <w:spacing w:line="240" w:lineRule="auto"/>
        <w:keepNext/>
      </w:pPr>
      <w:r>
        <w:rPr>
          <w:sz w:val="28"/>
          <w:rFonts w:ascii="Times New Roman" w:hAnsi="Times New Roman"/>
        </w:rPr>
        <w:t xml:space="preserve">Bilješka 35.</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242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nabavu proizvedene dugotrajne imovine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242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9.132,75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56.376,57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617,3</w:t>
            </w:r>
          </w:p>
        </w:tc>
      </w:tr>
    </w:tbl>
    <w:p>
      <w:pPr>
        <w:spacing w:before="0" w:after="0"/>
      </w:pPr>
    </w:p>
    <w:p>
      <w:r>
        <w:t xml:space="preserve">Općina Kamanje je tijekom 2025. godine provodila projekt uređenja dječjeg igrališa te se obveze najvećim dijelom odnose na taj projekt.</w:t>
      </w:r>
    </w:p>
    <w:p/>
    <w:p>
      <w:pPr>
        <w:jc w:val="center"/>
        <w:pStyle w:val="Normal"/>
        <w:spacing w:line="240" w:lineRule="auto"/>
        <w:keepNext/>
      </w:pPr>
      <w:r>
        <w:rPr>
          <w:sz w:val="28"/>
          <w:rFonts w:ascii="Times New Roman" w:hAnsi="Times New Roman"/>
        </w:rPr>
        <w:t xml:space="preserve">Bilješka 36.</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1. siječnja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Stanje 31. prosinca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27511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Obveze za EU predujmove dane od institucija i tijela EU</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27511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329.772,75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Stanje obveze odnosi se na povrat sredstava Agenciji za plaćanja u poljoprivredi, ribarstvu i ruralnom razvoju i to sukladno Odluci o povratu sredstava za projekat  „Rekonstrukcija nerazvrstane prometnice Vinska cesta – odvojci od I-V na području Općine Kamanje“ </w:t>
      </w:r>
    </w:p>
    <w:p/>
    <w:p>
      <w:pPr>
        <w:jc w:val="center"/>
        <w:pStyle w:val="Normal"/>
        <w:spacing w:line="240" w:lineRule="auto"/>
        <w:keepNext/>
      </w:pPr>
      <w:r>
        <w:rPr>
          <w:b/>
          <w:sz w:val="28"/>
          <w:rFonts w:ascii="Times New Roman" w:hAnsi="Times New Roman"/>
        </w:rPr>
        <w:t xml:space="preserve">Izvještaj o rashodima prema funkcijskoj klasifikaciji</w:t>
      </w:r>
    </w:p>
    <w:p>
      <w:pPr>
        <w:jc w:val="center"/>
        <w:pStyle w:val="Normal"/>
        <w:spacing w:line="240" w:lineRule="auto"/>
        <w:keepNext/>
      </w:pPr>
      <w:r>
        <w:rPr>
          <w:sz w:val="28"/>
          <w:rFonts w:ascii="Times New Roman" w:hAnsi="Times New Roman"/>
        </w:rPr>
        <w:t xml:space="preserve">Bilješka 37.</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032</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Usluge protupožarne zaštite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032</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13.345,45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20.610,85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154,4</w:t>
            </w:r>
          </w:p>
        </w:tc>
      </w:tr>
    </w:tbl>
    <w:p>
      <w:pPr>
        <w:spacing w:before="0" w:after="0"/>
      </w:pPr>
    </w:p>
    <w:p>
      <w:r>
        <w:t xml:space="preserve">Sredstva za usluge protupožarne zaštite odnose se na redovno financiranje vatrogastva na području Općine Kamanje.</w:t>
      </w:r>
    </w:p>
    <w:p/>
    <w:p>
      <w:pPr>
        <w:jc w:val="center"/>
        <w:pStyle w:val="Normal"/>
        <w:spacing w:line="240" w:lineRule="auto"/>
        <w:keepNext/>
      </w:pPr>
      <w:r>
        <w:rPr>
          <w:sz w:val="28"/>
          <w:rFonts w:ascii="Times New Roman" w:hAnsi="Times New Roman"/>
        </w:rPr>
        <w:t xml:space="preserve">Bilješka 38.</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0451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Cestovni promet</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0451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374.589,04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81.526,91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21,8</w:t>
            </w:r>
          </w:p>
        </w:tc>
      </w:tr>
    </w:tbl>
    <w:p>
      <w:pPr>
        <w:spacing w:before="0" w:after="0"/>
      </w:pPr>
    </w:p>
    <w:p>
      <w:r>
        <w:t xml:space="preserve">U 2024. godini na stavci cestovni promet iskazan je trošak koji se odnosi se na povrat sredstava Agenciji za plaćanja u poljoprivredi, ribarstvu i ruralnom razvoju i to sukladno Odluci o povratu sredstava za projekat  „Rekonstrukcija nerazvrstane prometnice Vinska cesta – odvojci od I-V na području Općine Kamanje“ te je iskazana znatna razlika u odnosu na 2025. godinu</w:t>
      </w:r>
    </w:p>
    <w:p/>
    <w:p>
      <w:pPr>
        <w:jc w:val="center"/>
        <w:pStyle w:val="Normal"/>
        <w:spacing w:line="240" w:lineRule="auto"/>
        <w:keepNext/>
      </w:pPr>
      <w:r>
        <w:rPr>
          <w:sz w:val="28"/>
          <w:rFonts w:ascii="Times New Roman" w:hAnsi="Times New Roman"/>
        </w:rPr>
        <w:t xml:space="preserve">Bilješka 39.</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064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Ulična rasvjeta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064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25.833,86</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42.951,03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166,3</w:t>
            </w:r>
          </w:p>
        </w:tc>
      </w:tr>
    </w:tbl>
    <w:p>
      <w:pPr>
        <w:spacing w:before="0" w:after="0"/>
      </w:pPr>
    </w:p>
    <w:p>
      <w:r>
        <w:t xml:space="preserve">Na stavci Ulična rasvjeta iskazan je znatno veći iznos u 2025. godini u odnosu na 2024. godinu iz razloga što je tijekom 2025. godine završen projekt modernizacije javne rasvjete u dijelu naselja Orljakovo.</w:t>
      </w:r>
    </w:p>
    <w:p/>
    <w:p>
      <w:pPr>
        <w:jc w:val="center"/>
        <w:pStyle w:val="Normal"/>
        <w:spacing w:line="240" w:lineRule="auto"/>
        <w:keepNext/>
      </w:pPr>
      <w:r>
        <w:rPr>
          <w:sz w:val="28"/>
          <w:rFonts w:ascii="Times New Roman" w:hAnsi="Times New Roman"/>
        </w:rPr>
        <w:t xml:space="preserve">Bilješka 40.</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0911</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Predškolsko obrazovanje</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0911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140.208,91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170.330,41</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121,5</w:t>
            </w:r>
          </w:p>
        </w:tc>
      </w:tr>
    </w:tbl>
    <w:p>
      <w:pPr>
        <w:spacing w:before="0" w:after="0"/>
      </w:pPr>
    </w:p>
    <w:p>
      <w:r>
        <w:t xml:space="preserve">Na stavci Predškolsko obrazovanje iskazan je iznos za 21,5% viši nego prethodne godine iz razloga povećanja troškova redovnih troškova poslovanja Dječjeg vrtića Kamanje.</w:t>
      </w:r>
    </w:p>
    <w:p/>
    <w:p>
      <w:pPr>
        <w:jc w:val="center"/>
        <w:pStyle w:val="Normal"/>
        <w:spacing w:line="240" w:lineRule="auto"/>
        <w:keepNext/>
      </w:pPr>
      <w:r>
        <w:rPr>
          <w:sz w:val="28"/>
          <w:rFonts w:ascii="Times New Roman" w:hAnsi="Times New Roman"/>
        </w:rPr>
        <w:t xml:space="preserve">Bilješka 41.</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prethodne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Ostvareno u izvještajnom razdoblju tekuće godine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104</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Obitelj i djeca</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104</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1.050,00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1.650,00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157,1</w:t>
            </w:r>
          </w:p>
        </w:tc>
      </w:tr>
    </w:tbl>
    <w:p>
      <w:pPr>
        <w:spacing w:before="0" w:after="0"/>
      </w:pPr>
    </w:p>
    <w:p>
      <w:r>
        <w:t xml:space="preserve">Razlika na stavci Obitelj i djeca odnosi se na pomoći za opremu novorođenčadi te je više sredstava isplaćeno u 2025. godini.</w:t>
      </w:r>
    </w:p>
    <w:p/>
    <w:p>
      <w:pPr>
        <w:jc w:val="center"/>
        <w:pStyle w:val="Normal"/>
        <w:spacing w:line="240" w:lineRule="auto"/>
        <w:keepNext/>
      </w:pPr>
      <w:r>
        <w:rPr>
          <w:b/>
          <w:sz w:val="28"/>
          <w:rFonts w:ascii="Times New Roman" w:hAnsi="Times New Roman"/>
        </w:rPr>
        <w:t xml:space="preserve">Promjene u vrijednosti i obujmu imovine i obveza</w:t>
      </w:r>
    </w:p>
    <w:p>
      <w:pPr>
        <w:jc w:val="center"/>
        <w:pStyle w:val="Normal"/>
        <w:spacing w:line="240" w:lineRule="auto"/>
        <w:keepNext/>
      </w:pPr>
      <w:r>
        <w:rPr>
          <w:sz w:val="28"/>
          <w:rFonts w:ascii="Times New Roman" w:hAnsi="Times New Roman"/>
        </w:rPr>
        <w:t xml:space="preserve">Bilješka 42.</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povećanja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 smanjenja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Promjene u obujmu financijske imovine (šifre P024 do P030)</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P023</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0,00</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1.061,78</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Općina je imala vlasnički udjel u trgovačkom društvu Misterion Riviera d.o.o. koje je u 2025. godini ušlo u stečajni postupak. Otvaranjem stečaja prestala je mogućnost ostvarivanja ekonomske koristi iz tog ulaganja, zbog čega je izvršen ispravak odnosno otpis vrijednosti udjela u skladu s važećim računovodstvenim propisima.</w:t>
      </w:r>
    </w:p>
    <w:p/>
    <w:p>
      <w:pPr>
        <w:jc w:val="center"/>
        <w:pStyle w:val="Normal"/>
        <w:spacing w:line="240" w:lineRule="auto"/>
        <w:keepNext/>
      </w:pPr>
      <w:r>
        <w:rPr>
          <w:b/>
          <w:sz w:val="28"/>
          <w:rFonts w:ascii="Times New Roman" w:hAnsi="Times New Roman"/>
        </w:rPr>
        <w:t xml:space="preserve">Izvještaj o obvezama</w:t>
      </w:r>
    </w:p>
    <w:p>
      <w:pPr>
        <w:jc w:val="center"/>
        <w:pStyle w:val="Normal"/>
        <w:spacing w:line="240" w:lineRule="auto"/>
        <w:keepNext/>
      </w:pPr>
      <w:r>
        <w:rPr>
          <w:sz w:val="28"/>
          <w:rFonts w:ascii="Times New Roman" w:hAnsi="Times New Roman"/>
        </w:rPr>
        <w:t xml:space="preserve">Bilješka 43.</w:t>
      </w:r>
    </w:p>
    <w:tbl>
      <w:tblPr>
        <w:tblBorders>
          <w:top w:val="single" w:color="BABABA" w:sz="12"/>
          <w:bottom w:val="single" w:color="BABABA" w:sz="12"/>
          <w:left w:val="single" w:color="BABABA" w:sz="12"/>
          <w:right w:val="single" w:color="BABABA" w:sz="12"/>
          <w:insideH w:val="single" w:color="BABABA" w:sz="8"/>
          <w:insideV w:val="single" w:color="DADADA" w:sz="8"/>
        </w:tblBorders>
        <w:tblW w:w="9000" w:type="dxa"/>
        <w:tblLayout w:type="fixed"/>
        <w:tblCellMar>
          <w:left w:w="40" w:type="dxa"/>
          <w:right w:w="40" w:type="dxa"/>
        </w:tblCellMar>
      </w:tblPr>
      <w:tblGrid>
        <w:gridCol w:w="700"/>
        <w:gridCol w:w="3180"/>
        <w:gridCol w:w="700"/>
        <w:gridCol w:w="1860"/>
        <w:gridCol w:w="700"/>
      </w:tblGrid>
      <w:tr>
        <w:trPr>
          <w:cantSplit/>
        </w:trPr>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Račun iz rač. plana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Opis stavke</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Šifra</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Iznos</w:t>
            </w:r>
          </w:p>
        </w:tc>
        <w:tc>
          <w:tcPr>
            <w:shd w:val="clear" w:color="auto" w:fill="E7F0F9"/>
            <w:tcMar>
              <w:top w:w="0" w:type="dxa"/>
              <w:bottom w:w="0" w:type="dxa"/>
            </w:tcMar>
            <w:vAlign w:val="center"/>
          </w:tcPr>
          <w:p>
            <w:pPr>
              <w:jc w:val="center"/>
              <w:pStyle w:val="Normal"/>
              <w:spacing w:before="0" w:after="0" w:line="240" w:lineRule="auto"/>
              <w:keepNext/>
              <w:keepLines/>
            </w:pPr>
            <w:r>
              <w:rPr>
                <w:sz w:val="18"/>
                <w:rFonts w:ascii="Times New Roman" w:hAnsi="Times New Roman"/>
                <w:b/>
              </w:rPr>
              <w:t>Indeks (%)</w:t>
            </w:r>
          </w:p>
        </w:tc>
      </w:tr>
      <w:tr>
        <w:trPr>
          <w:trHeight w:val="560" w:hRule="atLeast"/>
          <w:cantSplit/>
        </w:trPr>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Stanje dospjelih obveza na kraju izvještajnog razdoblja (šifre V008+D23+D24 + 'D dio 25,26' + D27)</w:t>
            </w:r>
          </w:p>
        </w:tc>
        <w:tc>
          <w:tcPr>
            <w:tcMar>
              <w:top w:w="0" w:type="dxa"/>
              <w:bottom w:w="0" w:type="dxa"/>
            </w:tcMar>
            <w:vAlign w:val="center"/>
          </w:tcPr>
          <w:p>
            <w:pPr>
              <w:jc w:val="left"/>
              <w:pStyle w:val="Normal"/>
              <w:spacing w:before="0" w:after="0" w:line="240" w:lineRule="auto"/>
              <w:keepNext/>
              <w:keepLines/>
            </w:pPr>
            <w:r>
              <w:rPr>
                <w:sz w:val="18"/>
                <w:rFonts w:ascii="Times New Roman" w:hAnsi="Times New Roman"/>
              </w:rPr>
              <w:t>V007</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181.477,25</w:t>
            </w:r>
          </w:p>
        </w:tc>
        <w:tc>
          <w:tcPr>
            <w:tcMar>
              <w:top w:w="0" w:type="dxa"/>
              <w:bottom w:w="0" w:type="dxa"/>
            </w:tcMar>
            <w:vAlign w:val="center"/>
          </w:tcPr>
          <w:p>
            <w:pPr>
              <w:jc w:val="right"/>
              <w:pStyle w:val="Normal"/>
              <w:spacing w:before="0" w:after="0" w:line="240" w:lineRule="auto"/>
              <w:keepNext/>
              <w:keepLines/>
            </w:pPr>
            <w:r>
              <w:rPr>
                <w:sz w:val="18"/>
                <w:rFonts w:ascii="Times New Roman" w:hAnsi="Times New Roman"/>
              </w:rPr>
              <w:t>-</w:t>
            </w:r>
          </w:p>
        </w:tc>
      </w:tr>
    </w:tbl>
    <w:p>
      <w:pPr>
        <w:spacing w:before="0" w:after="0"/>
      </w:pPr>
    </w:p>
    <w:p>
      <w:r>
        <w:t xml:space="preserve">Stanje dospjelih obveza najvećim dijelom odnos se na povrat sredstava Agenciji za plaćanja u poljoprivredi, ribarstvu i ruralnom razvoju i to sukladno Odluci o povratu sredstava za projekat  „Rekonstrukcija nerazvrstane prometnice Vinska cesta – odvojci od I-V na području Općine Kamanje“ u dospjelom iznosu od 127.108,81 eura, uredski materijal u iznosu od 655,80 €, materijal i djelovi za tekuće i invest. održavanje u iznosu od 1.288,88 €, usluge za održavanje nerazvrstanih cesta u iznosu od 5.575,00 €, usluge održavanja javnih površina u iznosu od 214,85 €, najamnine za opremu u iznosu od 1.327,23 €, naknada za uređenje voda u iznosu od 2.633,59, intelektualne usluge u iznosu od 23.576,10 €, troškovi reprezentacije u iznosu od 2.385,00 €, ostali rashodi u iznosu 1.300,00 €, ostali nespomenuti financijski rashodi u iznosu od 1.742,51 €. Za materijalnu imovinu, dospjele obveze iznose 7.303,87 €,</w:t>
      </w:r>
    </w:p>
    <w:p>
      <w:r>
        <w:t xml:space="preserve">Nepodmirenje dospjelih obveza posljedica je nedostatne likvidnosti uz istodobno ostvareni manjak poslovanja u prethodnim godinama, odnosno činjenice da ostvareni prihodi i novčani priljevi nisu bili dostatni za pravodobno podmirenje svih dospjelih obveza.</w:t>
      </w:r>
    </w:p>
    <w:p/>
    <w:p>
      <w:pPr>
        <w:jc w:val="center"/>
        <w:pStyle w:val="Normal"/>
        <w:spacing w:line="240" w:lineRule="auto"/>
        <w:keepNext/>
      </w:pPr>
      <w:r>
        <w:rPr>
          <w:sz w:val="28"/>
          <w:rFonts w:ascii="Times New Roman" w:hAnsi="Times New Roman"/>
        </w:rPr>
        <w:t xml:space="preserve">Bilješka 44.</w:t>
      </w:r>
    </w:p>
    <w:p>
      <w:pPr>
        <w:jc w:val="both"/>
        <w:pStyle w:val="Normal"/>
        <w:spacing w:line="240" w:lineRule="auto"/>
      </w:pPr>
      <w:r>
        <w:rPr>
          <w:b/>
          <w:sz w:val="24"/>
          <w:rFonts w:ascii="Times New Roman" w:hAnsi="Times New Roman"/>
        </w:rPr>
        <w:t xml:space="preserve">Unutargrupne transakcije koje su u izvještajima eliminirane</w:t>
      </w:r>
    </w:p>
    <w:p>
      <w:r>
        <w:t xml:space="preserve">Općina je u izvještajnom razdoblju prenijela proračunskom korisniku – Dječjem vrtiću – sredstva u iznosu od 113.000,00 EUR iz izvora opći prihodi za pokriće troškova plaća zaposlenika. U pojedinačnim financijskim izvještajima navedeni iznos iskazan je kao rashod proračuna te istodobno kao prihod proračunskog korisnika.</w:t>
      </w:r>
    </w:p>
    <w:p>
      <w:r>
        <w:t xml:space="preserve">Budući da se radi o prijenosu sredstava unutar istog proračunskog sustava, navedena transakcija je u konsolidiranim financijskim izvještajima eliminirana, kako ne bi došlo do dvostrukog iskazivanja prihoda i rashoda te kako bi se prikazali isključivo odnosi prema vanjskim subjektima.</w:t>
      </w:r>
    </w:p>
    <w:p/>
    <w:p>
      <w:pPr>
        <w:jc w:val="center"/>
        <w:pStyle w:val="Normal"/>
        <w:spacing w:line="240" w:lineRule="auto"/>
        <w:keepNext/>
      </w:pPr>
      <w:r>
        <w:rPr>
          <w:sz w:val="28"/>
          <w:rFonts w:ascii="Times New Roman" w:hAnsi="Times New Roman"/>
        </w:rPr>
        <w:t xml:space="preserve">Bilješka 45.</w:t>
      </w:r>
    </w:p>
    <w:p>
      <w:pPr>
        <w:jc w:val="both"/>
        <w:pStyle w:val="Normal"/>
        <w:spacing w:line="240" w:lineRule="auto"/>
      </w:pPr>
      <w:r>
        <w:rPr>
          <w:b/>
          <w:sz w:val="24"/>
          <w:rFonts w:ascii="Times New Roman" w:hAnsi="Times New Roman"/>
        </w:rPr>
        <w:t xml:space="preserve">Manjak ili višak u poslovanju grupe i pregled strukture manjka/viška po proračunskim korisnicima </w:t>
      </w:r>
    </w:p>
    <w:p>
      <w:r>
        <w:rPr>
          <w:b/>
        </w:rPr>
        <w:t xml:space="preserve">KONSOLIDACIJA:</w:t>
      </w:r>
    </w:p>
    <w:p>
      <w:r>
        <w:t xml:space="preserve">Višak prihoda poslovanja - 228.973,46 €</w:t>
      </w:r>
    </w:p>
    <w:p>
      <w:r>
        <w:t xml:space="preserve">Manjak prihoda o nefinancijske imovine - 149.509,99 €</w:t>
      </w:r>
    </w:p>
    <w:p>
      <w:r>
        <w:t xml:space="preserve">Manjak primitaka od financijske imovine - 21.412,50 € </w:t>
      </w:r>
    </w:p>
    <w:p>
      <w:r>
        <w:t xml:space="preserve">VIŠAK PRIHODA I PRIMITAKA: 58.050,97 €</w:t>
      </w:r>
    </w:p>
    <w:p>
      <w:r>
        <w:t xml:space="preserve"> </w:t>
      </w:r>
    </w:p>
    <w:p>
      <w:r>
        <w:rPr>
          <w:b/>
        </w:rPr>
        <w:t xml:space="preserve">Općina Kamanje</w:t>
      </w:r>
    </w:p>
    <w:p>
      <w:r>
        <w:t xml:space="preserve">Višak prihoda poslovanja - 222.631,05 €</w:t>
      </w:r>
    </w:p>
    <w:p>
      <w:r>
        <w:t xml:space="preserve">Manjak prihoda o nefinancijske imovine - 145.509,99 €</w:t>
      </w:r>
    </w:p>
    <w:p>
      <w:r>
        <w:t xml:space="preserve">Manjak primitaka od financijske imovine - 21.412,50 € </w:t>
      </w:r>
    </w:p>
    <w:p>
      <w:r>
        <w:t xml:space="preserve">VIŠAK PRIHODA I PRIMITAKA: 55.708,56 €</w:t>
      </w:r>
    </w:p>
    <w:p>
      <w:r>
        <w:rPr>
          <w:b/>
        </w:rPr>
        <w:t xml:space="preserve">Dječji vrtić Kamanje</w:t>
      </w:r>
    </w:p>
    <w:p>
      <w:r>
        <w:t xml:space="preserve">Višak prihoda poslovanja - 6.342,41 €</w:t>
      </w:r>
    </w:p>
    <w:p>
      <w:r>
        <w:t xml:space="preserve">Manjak prihoda o nefinancijske imovine - 4.000,00 €</w:t>
      </w:r>
    </w:p>
    <w:p>
      <w:r>
        <w:t xml:space="preserve">VIŠAK PRIHODA I PRIMITAKA: 2.342,41 €</w:t>
      </w:r>
    </w:p>
    <w:p/>
  </w:body>
</w:document>
</file>

<file path=word/styles.xml><?xml version="1.0" encoding="utf-8"?>
<w:styles xmlns:w="http://schemas.openxmlformats.org/wordprocessingml/2006/main">
  <w:docDefaults>
    <w:rPrDefault>
      <w:rPr>
        <w:rFonts w:ascii="Times New Roman" w:hAnsi="Times New Roman"/>
        <w:sz w:val="24"/>
      </w:rPr>
    </w:rPrDefault>
  </w:docDefaults>
  <w:style w:type="paragraph" w:styleId="Normal" w:default="true">
    <w:name w:val="Normal"/>
    <w:rPr>
      <w:rFonts w:ascii="Times New Roman" w:hAnsi="Times New Roman"/>
      <w:sz w:val="24"/>
    </w:rPr>
  </w:style>
</w:styles>
</file>

<file path=word/_rels/document.xml.rels>&#65279;<?xml version="1.0" encoding="utf-8"?><Relationships xmlns="http://schemas.openxmlformats.org/package/2006/relationships"><Relationship Type="http://schemas.openxmlformats.org/officeDocument/2006/relationships/styles" Target="/word/styles.xml" Id="Re32a3602db3b4ef3" /></Relationships>
</file>